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35" w:rsidRPr="001644DA" w:rsidRDefault="00A75335" w:rsidP="00A75335">
      <w:pPr>
        <w:pStyle w:val="NoSpacing"/>
        <w:rPr>
          <w:b/>
        </w:rPr>
      </w:pPr>
      <w:r w:rsidRPr="001644DA">
        <w:rPr>
          <w:b/>
        </w:rPr>
        <w:t>Section B: Method Comparison</w:t>
      </w:r>
    </w:p>
    <w:p w:rsidR="00A75335" w:rsidRDefault="00A75335" w:rsidP="00A75335">
      <w:pPr>
        <w:pStyle w:val="NoSpacing"/>
      </w:pPr>
    </w:p>
    <w:p w:rsidR="00A75335" w:rsidRDefault="00A75335" w:rsidP="00A75335">
      <w:pPr>
        <w:pStyle w:val="NoSpacing"/>
      </w:pPr>
      <w:r>
        <w:t>An upgraded reagent for progesterone for your analyser was due to be released, and needed to be evaluated.  You planned the assay performance verification and method comparison to be performed.</w:t>
      </w:r>
    </w:p>
    <w:p w:rsidR="00A75335" w:rsidRDefault="00A75335" w:rsidP="00A75335">
      <w:pPr>
        <w:pStyle w:val="NoSpacing"/>
      </w:pPr>
    </w:p>
    <w:p w:rsidR="00A75335" w:rsidRDefault="00A75335" w:rsidP="00A75335">
      <w:pPr>
        <w:pStyle w:val="NoSpacing"/>
      </w:pPr>
      <w:r>
        <w:t xml:space="preserve">Precision and accuracy studies were performed, using the </w:t>
      </w:r>
      <w:proofErr w:type="spellStart"/>
      <w:r>
        <w:t>CLSI</w:t>
      </w:r>
      <w:proofErr w:type="spellEnd"/>
      <w:r>
        <w:t xml:space="preserve"> EP15-3 document.</w:t>
      </w:r>
    </w:p>
    <w:p w:rsidR="00A75335" w:rsidRDefault="00A75335" w:rsidP="00A75335">
      <w:pPr>
        <w:pStyle w:val="NoSpacing"/>
      </w:pPr>
    </w:p>
    <w:p w:rsidR="00A75335" w:rsidRDefault="00A75335" w:rsidP="00A75335">
      <w:pPr>
        <w:pStyle w:val="NoSpacing"/>
      </w:pPr>
      <w:r>
        <w:t>A method comparison was performed by the technologist. Unfortunately, the laboratory ran out of old reagent before the study could be completed and they now require a quick decision from you regarding whether they can go over to the new assay.</w:t>
      </w:r>
    </w:p>
    <w:p w:rsidR="00A75335" w:rsidRDefault="00A75335" w:rsidP="00A75335">
      <w:pPr>
        <w:pStyle w:val="NoSpacing"/>
      </w:pPr>
    </w:p>
    <w:p w:rsidR="00A75335" w:rsidRDefault="00A75335" w:rsidP="00A75335">
      <w:pPr>
        <w:pStyle w:val="NoSpacing"/>
      </w:pPr>
      <w:r>
        <w:t>You are provided with the following:</w:t>
      </w:r>
    </w:p>
    <w:p w:rsidR="00A75335" w:rsidRDefault="00A75335" w:rsidP="00A75335">
      <w:pPr>
        <w:pStyle w:val="NoSpacing"/>
        <w:numPr>
          <w:ilvl w:val="0"/>
          <w:numId w:val="3"/>
        </w:numPr>
      </w:pPr>
      <w:r>
        <w:t>Precision and accuracy data</w:t>
      </w:r>
    </w:p>
    <w:p w:rsidR="00A75335" w:rsidRDefault="00A75335" w:rsidP="00A75335">
      <w:pPr>
        <w:pStyle w:val="NoSpacing"/>
        <w:numPr>
          <w:ilvl w:val="0"/>
          <w:numId w:val="3"/>
        </w:numPr>
      </w:pPr>
      <w:r>
        <w:t>Method comparison data</w:t>
      </w:r>
    </w:p>
    <w:p w:rsidR="00A75335" w:rsidRDefault="00A75335" w:rsidP="00A75335">
      <w:pPr>
        <w:pStyle w:val="NoSpacing"/>
        <w:numPr>
          <w:ilvl w:val="0"/>
          <w:numId w:val="3"/>
        </w:numPr>
      </w:pPr>
      <w:r>
        <w:t>Progesterone package inserts - old and new</w:t>
      </w:r>
    </w:p>
    <w:p w:rsidR="00A75335" w:rsidRDefault="00A75335" w:rsidP="00A75335">
      <w:pPr>
        <w:pStyle w:val="NoSpacing"/>
        <w:numPr>
          <w:ilvl w:val="0"/>
          <w:numId w:val="3"/>
        </w:numPr>
      </w:pPr>
      <w:r>
        <w:t>Proficiency testing materials’ package inserts</w:t>
      </w:r>
    </w:p>
    <w:p w:rsidR="00A75335" w:rsidRDefault="00A75335" w:rsidP="00A75335">
      <w:pPr>
        <w:pStyle w:val="NoSpacing"/>
        <w:numPr>
          <w:ilvl w:val="0"/>
          <w:numId w:val="3"/>
        </w:numPr>
      </w:pPr>
      <w:r>
        <w:t>Allowable error limits data</w:t>
      </w:r>
    </w:p>
    <w:p w:rsidR="00A75335" w:rsidRDefault="00A75335" w:rsidP="00A75335">
      <w:pPr>
        <w:pStyle w:val="NoSpacing"/>
        <w:numPr>
          <w:ilvl w:val="0"/>
          <w:numId w:val="3"/>
        </w:numPr>
      </w:pPr>
      <w:proofErr w:type="spellStart"/>
      <w:r>
        <w:t>CLSI</w:t>
      </w:r>
      <w:proofErr w:type="spellEnd"/>
      <w:r>
        <w:t xml:space="preserve"> EP15-2A document</w:t>
      </w:r>
    </w:p>
    <w:p w:rsidR="00A75335" w:rsidRDefault="00A75335" w:rsidP="00A75335">
      <w:pPr>
        <w:pStyle w:val="NoSpacing"/>
      </w:pPr>
    </w:p>
    <w:p w:rsidR="00A75335" w:rsidRDefault="00A75335" w:rsidP="00A75335">
      <w:pPr>
        <w:pStyle w:val="NoSpacing"/>
      </w:pPr>
      <w:r>
        <w:t>Questions:</w:t>
      </w:r>
    </w:p>
    <w:p w:rsidR="00A75335" w:rsidRDefault="00A75335" w:rsidP="00A75335">
      <w:pPr>
        <w:pStyle w:val="NoSpacing"/>
        <w:numPr>
          <w:ilvl w:val="0"/>
          <w:numId w:val="1"/>
        </w:numPr>
      </w:pPr>
      <w:r>
        <w:t>Complete the precision and accuracy evaluation.</w:t>
      </w:r>
    </w:p>
    <w:p w:rsidR="00A75335" w:rsidRDefault="00A75335" w:rsidP="00A75335">
      <w:pPr>
        <w:pStyle w:val="NoSpacing"/>
        <w:numPr>
          <w:ilvl w:val="0"/>
          <w:numId w:val="1"/>
        </w:numPr>
      </w:pPr>
      <w:r>
        <w:t>Complete the method comparison and all relevant plots.</w:t>
      </w:r>
    </w:p>
    <w:p w:rsidR="00A75335" w:rsidRDefault="00A75335" w:rsidP="00A75335">
      <w:pPr>
        <w:pStyle w:val="NoSpacing"/>
        <w:numPr>
          <w:ilvl w:val="0"/>
          <w:numId w:val="1"/>
        </w:numPr>
      </w:pPr>
      <w:r>
        <w:t>Using the available data, analyse the EP15-3 data and method comparison and decide whether the performance of this assay is clinically acceptable. Show all graphs and discussion.</w:t>
      </w:r>
    </w:p>
    <w:p w:rsidR="00A75335" w:rsidRDefault="00A75335" w:rsidP="00A75335">
      <w:pPr>
        <w:pStyle w:val="NoSpacing"/>
        <w:numPr>
          <w:ilvl w:val="0"/>
          <w:numId w:val="1"/>
        </w:numPr>
      </w:pPr>
      <w:r>
        <w:t>Comment on the manner in which the evaluation was performed.</w:t>
      </w:r>
    </w:p>
    <w:p w:rsidR="00942523" w:rsidRDefault="00942523" w:rsidP="00942523">
      <w:pPr>
        <w:pStyle w:val="NoSpacing"/>
        <w:pBdr>
          <w:bottom w:val="single" w:sz="4" w:space="1" w:color="auto"/>
        </w:pBdr>
      </w:pPr>
    </w:p>
    <w:p w:rsidR="001644DA" w:rsidRDefault="001644DA" w:rsidP="001644DA">
      <w:pPr>
        <w:pStyle w:val="NoSpacing"/>
      </w:pPr>
    </w:p>
    <w:p w:rsidR="00942523" w:rsidRPr="00942523" w:rsidRDefault="00942523" w:rsidP="001644DA">
      <w:pPr>
        <w:pStyle w:val="NoSpacing"/>
        <w:rPr>
          <w:b/>
          <w:color w:val="FF0000"/>
        </w:rPr>
      </w:pPr>
      <w:r w:rsidRPr="00942523">
        <w:rPr>
          <w:b/>
          <w:color w:val="FF0000"/>
        </w:rPr>
        <w:t>Memo:</w:t>
      </w:r>
    </w:p>
    <w:p w:rsidR="00942523" w:rsidRDefault="00942523" w:rsidP="001644DA">
      <w:pPr>
        <w:pStyle w:val="NoSpacing"/>
      </w:pPr>
    </w:p>
    <w:p w:rsidR="006C29A8" w:rsidRPr="006C29A8" w:rsidRDefault="006C29A8" w:rsidP="006C29A8">
      <w:pPr>
        <w:pStyle w:val="NoSpacing"/>
        <w:rPr>
          <w:b/>
        </w:rPr>
      </w:pPr>
      <w:r w:rsidRPr="006C29A8">
        <w:rPr>
          <w:b/>
        </w:rPr>
        <w:t xml:space="preserve">Complete </w:t>
      </w:r>
      <w:r w:rsidR="00A75335">
        <w:rPr>
          <w:b/>
        </w:rPr>
        <w:t xml:space="preserve">precision and accuracy </w:t>
      </w:r>
      <w:r w:rsidRPr="006C29A8">
        <w:rPr>
          <w:b/>
        </w:rPr>
        <w:t>data:</w:t>
      </w:r>
    </w:p>
    <w:p w:rsidR="000F1CC4" w:rsidRDefault="000F1CC4" w:rsidP="001644DA">
      <w:pPr>
        <w:pStyle w:val="NoSpacing"/>
      </w:pPr>
      <w:r>
        <w:t>Insert</w:t>
      </w:r>
      <w:r w:rsidR="008B705B">
        <w:t xml:space="preserve"> into data sheet 1</w:t>
      </w:r>
      <w:r>
        <w:t>:</w:t>
      </w:r>
    </w:p>
    <w:p w:rsidR="000F1CC4" w:rsidRDefault="000F1CC4" w:rsidP="000F1CC4">
      <w:pPr>
        <w:pStyle w:val="NoSpacing"/>
        <w:numPr>
          <w:ilvl w:val="0"/>
          <w:numId w:val="5"/>
        </w:numPr>
      </w:pPr>
      <w:r>
        <w:t xml:space="preserve">Expected target means and lower and upper limits from </w:t>
      </w:r>
      <w:proofErr w:type="spellStart"/>
      <w:r>
        <w:t>IQC</w:t>
      </w:r>
      <w:proofErr w:type="spellEnd"/>
      <w:r>
        <w:t xml:space="preserve"> materials</w:t>
      </w:r>
      <w:r w:rsidR="008B705B">
        <w:tab/>
        <w:t>[4]</w:t>
      </w:r>
    </w:p>
    <w:p w:rsidR="008B705B" w:rsidRDefault="008B705B" w:rsidP="000F1CC4">
      <w:pPr>
        <w:pStyle w:val="NoSpacing"/>
        <w:numPr>
          <w:ilvl w:val="0"/>
          <w:numId w:val="5"/>
        </w:numPr>
      </w:pPr>
      <w:r>
        <w:t>Assay characteristics</w:t>
      </w:r>
      <w:r>
        <w:tab/>
      </w:r>
      <w:r>
        <w:tab/>
      </w:r>
      <w:r>
        <w:tab/>
      </w:r>
      <w:r>
        <w:tab/>
      </w:r>
      <w:r>
        <w:tab/>
        <w:t>[4]</w:t>
      </w:r>
    </w:p>
    <w:p w:rsidR="000F1CC4" w:rsidRDefault="000F1CC4" w:rsidP="001644DA">
      <w:pPr>
        <w:pStyle w:val="NoSpacing"/>
        <w:numPr>
          <w:ilvl w:val="0"/>
          <w:numId w:val="5"/>
        </w:numPr>
      </w:pPr>
      <w:r>
        <w:t>Medical decision limits and justify</w:t>
      </w:r>
      <w:r w:rsidR="008B705B">
        <w:tab/>
      </w:r>
      <w:r w:rsidR="008B705B">
        <w:tab/>
      </w:r>
      <w:r w:rsidR="008B705B">
        <w:tab/>
        <w:t>[4]</w:t>
      </w:r>
    </w:p>
    <w:p w:rsidR="000F1CC4" w:rsidRDefault="000F1CC4" w:rsidP="001644DA">
      <w:pPr>
        <w:pStyle w:val="NoSpacing"/>
        <w:numPr>
          <w:ilvl w:val="0"/>
          <w:numId w:val="5"/>
        </w:numPr>
      </w:pPr>
      <w:r>
        <w:t xml:space="preserve">Manufacturer’s claims from </w:t>
      </w:r>
      <w:proofErr w:type="spellStart"/>
      <w:r>
        <w:t>Prog</w:t>
      </w:r>
      <w:proofErr w:type="spellEnd"/>
      <w:r>
        <w:t xml:space="preserve"> III package insert</w:t>
      </w:r>
      <w:r w:rsidR="008B705B">
        <w:tab/>
        <w:t>[4]</w:t>
      </w:r>
    </w:p>
    <w:p w:rsidR="000F1CC4" w:rsidRDefault="000F1CC4" w:rsidP="001644DA">
      <w:pPr>
        <w:pStyle w:val="NoSpacing"/>
        <w:numPr>
          <w:ilvl w:val="0"/>
          <w:numId w:val="5"/>
        </w:numPr>
      </w:pPr>
      <w:r>
        <w:t>Error limits</w:t>
      </w:r>
      <w:r w:rsidR="008B705B">
        <w:tab/>
      </w:r>
      <w:r w:rsidR="008B705B">
        <w:tab/>
      </w:r>
      <w:r w:rsidR="008B705B">
        <w:tab/>
      </w:r>
      <w:r w:rsidR="008B705B">
        <w:tab/>
      </w:r>
      <w:r w:rsidR="008B705B">
        <w:tab/>
      </w:r>
      <w:r w:rsidR="008B705B">
        <w:tab/>
        <w:t>[4]</w:t>
      </w:r>
    </w:p>
    <w:p w:rsidR="000F1CC4" w:rsidRDefault="000F1CC4" w:rsidP="000F1CC4">
      <w:pPr>
        <w:pStyle w:val="NoSpacing"/>
      </w:pPr>
    </w:p>
    <w:p w:rsidR="008B705B" w:rsidRDefault="00764311" w:rsidP="008B705B">
      <w:pPr>
        <w:pStyle w:val="NoSpacing"/>
      </w:pPr>
      <w:r>
        <w:t>No marks for calculations as they happen automatically. Marks for comments</w:t>
      </w:r>
      <w:r w:rsidR="008B705B">
        <w:t>:</w:t>
      </w:r>
    </w:p>
    <w:p w:rsidR="008B705B" w:rsidRDefault="008B705B" w:rsidP="008B705B">
      <w:pPr>
        <w:pStyle w:val="NoSpacing"/>
        <w:numPr>
          <w:ilvl w:val="0"/>
          <w:numId w:val="7"/>
        </w:numPr>
      </w:pPr>
      <w:r>
        <w:t xml:space="preserve">Repeatability and reproducibility, </w:t>
      </w:r>
      <w:proofErr w:type="spellStart"/>
      <w:r>
        <w:t>wrt</w:t>
      </w:r>
      <w:proofErr w:type="spellEnd"/>
      <w:r>
        <w:t xml:space="preserve"> manufacturer’s claims and allowable CV% [5]</w:t>
      </w:r>
    </w:p>
    <w:p w:rsidR="008B705B" w:rsidRDefault="008B705B" w:rsidP="008B705B">
      <w:pPr>
        <w:pStyle w:val="NoSpacing"/>
        <w:numPr>
          <w:ilvl w:val="0"/>
          <w:numId w:val="7"/>
        </w:numPr>
      </w:pPr>
      <w:r>
        <w:t>Bias and total error</w:t>
      </w:r>
      <w:r>
        <w:tab/>
      </w:r>
      <w:r>
        <w:tab/>
      </w:r>
      <w:r>
        <w:tab/>
      </w:r>
      <w:r>
        <w:tab/>
      </w:r>
      <w:r>
        <w:tab/>
        <w:t>[5]</w:t>
      </w:r>
    </w:p>
    <w:p w:rsidR="00764311" w:rsidRDefault="00764311" w:rsidP="00764311">
      <w:pPr>
        <w:pStyle w:val="NoSpacing"/>
      </w:pPr>
    </w:p>
    <w:p w:rsidR="00764311" w:rsidRDefault="00764311" w:rsidP="00764311">
      <w:pPr>
        <w:pStyle w:val="NoSpacing"/>
      </w:pPr>
      <w:r>
        <w:t>Marks for approach and comments on:</w:t>
      </w:r>
    </w:p>
    <w:p w:rsidR="008B705B" w:rsidRDefault="008B705B" w:rsidP="008B705B">
      <w:pPr>
        <w:pStyle w:val="NoSpacing"/>
        <w:numPr>
          <w:ilvl w:val="0"/>
          <w:numId w:val="7"/>
        </w:numPr>
      </w:pPr>
      <w:r>
        <w:t>Method comparison</w:t>
      </w:r>
      <w:r>
        <w:tab/>
      </w:r>
      <w:r>
        <w:tab/>
      </w:r>
      <w:r>
        <w:tab/>
      </w:r>
      <w:r>
        <w:tab/>
      </w:r>
      <w:r>
        <w:tab/>
        <w:t>[5]</w:t>
      </w:r>
    </w:p>
    <w:p w:rsidR="008B705B" w:rsidRDefault="008B705B" w:rsidP="000F1CC4">
      <w:pPr>
        <w:pStyle w:val="NoSpacing"/>
      </w:pPr>
    </w:p>
    <w:p w:rsidR="000F1CC4" w:rsidRDefault="000F1CC4" w:rsidP="000F1CC4">
      <w:pPr>
        <w:pStyle w:val="NoSpacing"/>
      </w:pPr>
      <w:r>
        <w:t>Plot</w:t>
      </w:r>
      <w:r w:rsidR="008B705B">
        <w:t>s</w:t>
      </w:r>
      <w:r>
        <w:t>:</w:t>
      </w:r>
      <w:r w:rsidR="008B705B">
        <w:t xml:space="preserve"> </w:t>
      </w:r>
      <w:r w:rsidR="008B705B">
        <w:tab/>
      </w:r>
      <w:r w:rsidR="008B705B">
        <w:tab/>
      </w:r>
      <w:r w:rsidR="008B705B">
        <w:tab/>
      </w:r>
      <w:r w:rsidR="008B705B">
        <w:tab/>
      </w:r>
      <w:r w:rsidR="008B705B">
        <w:tab/>
      </w:r>
      <w:r w:rsidR="008B705B">
        <w:tab/>
      </w:r>
      <w:r w:rsidR="008B705B">
        <w:tab/>
      </w:r>
      <w:r w:rsidR="008B705B">
        <w:tab/>
        <w:t>[5]</w:t>
      </w:r>
    </w:p>
    <w:p w:rsidR="000F1CC4" w:rsidRDefault="000F1CC4" w:rsidP="000F1CC4">
      <w:pPr>
        <w:pStyle w:val="NoSpacing"/>
        <w:numPr>
          <w:ilvl w:val="0"/>
          <w:numId w:val="6"/>
        </w:numPr>
      </w:pPr>
      <w:r>
        <w:t>Linear regression</w:t>
      </w:r>
    </w:p>
    <w:p w:rsidR="000F1CC4" w:rsidRDefault="000F1CC4" w:rsidP="000F1CC4">
      <w:pPr>
        <w:pStyle w:val="NoSpacing"/>
        <w:numPr>
          <w:ilvl w:val="0"/>
          <w:numId w:val="6"/>
        </w:numPr>
      </w:pPr>
      <w:r>
        <w:t>Absolute difference plot</w:t>
      </w:r>
      <w:bookmarkStart w:id="0" w:name="_GoBack"/>
      <w:bookmarkEnd w:id="0"/>
    </w:p>
    <w:p w:rsidR="000F1CC4" w:rsidRDefault="000F1CC4" w:rsidP="000F1CC4">
      <w:pPr>
        <w:pStyle w:val="NoSpacing"/>
        <w:numPr>
          <w:ilvl w:val="0"/>
          <w:numId w:val="6"/>
        </w:numPr>
      </w:pPr>
      <w:r>
        <w:t>Relative difference plot</w:t>
      </w:r>
    </w:p>
    <w:p w:rsidR="000F1CC4" w:rsidRDefault="000F1CC4" w:rsidP="000F1CC4">
      <w:pPr>
        <w:pStyle w:val="NoSpacing"/>
      </w:pPr>
    </w:p>
    <w:p w:rsidR="00942523" w:rsidRDefault="008B705B" w:rsidP="001644DA">
      <w:pPr>
        <w:pStyle w:val="NoSpacing"/>
      </w:pPr>
      <w:r>
        <w:lastRenderedPageBreak/>
        <w:t>Questions:</w:t>
      </w:r>
    </w:p>
    <w:p w:rsidR="000F1CC4" w:rsidRDefault="000F1CC4" w:rsidP="001644DA">
      <w:pPr>
        <w:pStyle w:val="NoSpacing"/>
      </w:pPr>
    </w:p>
    <w:p w:rsidR="00942523" w:rsidRDefault="00942523" w:rsidP="006C29A8">
      <w:pPr>
        <w:pStyle w:val="NoSpacing"/>
        <w:numPr>
          <w:ilvl w:val="0"/>
          <w:numId w:val="11"/>
        </w:numPr>
      </w:pPr>
      <w:proofErr w:type="spellStart"/>
      <w:r>
        <w:t>lmprecision</w:t>
      </w:r>
      <w:proofErr w:type="spellEnd"/>
      <w:r>
        <w:t xml:space="preserve"> is not within manufacturer's claim. However, it is within the allowable CV and is therefore acceptable. </w:t>
      </w:r>
    </w:p>
    <w:p w:rsidR="00942523" w:rsidRDefault="00942523" w:rsidP="00942523">
      <w:pPr>
        <w:pStyle w:val="NoSpacing"/>
      </w:pPr>
    </w:p>
    <w:p w:rsidR="00942523" w:rsidRDefault="00942523" w:rsidP="00942523">
      <w:pPr>
        <w:pStyle w:val="NoSpacing"/>
        <w:ind w:left="720"/>
      </w:pPr>
      <w:r>
        <w:t>Progesterone variation is expected to be high. Bias is within allowable limits for level 2 and 3. Bias at lowest level is high, however this is not clinically relevant. And still within the total allowable error.</w:t>
      </w:r>
    </w:p>
    <w:p w:rsidR="00942523" w:rsidRDefault="00942523" w:rsidP="00942523">
      <w:pPr>
        <w:pStyle w:val="NoSpacing"/>
        <w:ind w:left="720"/>
      </w:pPr>
    </w:p>
    <w:p w:rsidR="00942523" w:rsidRDefault="00942523" w:rsidP="00942523">
      <w:pPr>
        <w:pStyle w:val="NoSpacing"/>
        <w:ind w:left="720"/>
      </w:pPr>
      <w:r>
        <w:t>Method comparison: see linear regression graph and absolute and relative difference plots. Good</w:t>
      </w:r>
      <w:r w:rsidR="006C29A8">
        <w:t xml:space="preserve"> </w:t>
      </w:r>
      <w:r>
        <w:t>correlation, with large variation at very low levels.</w:t>
      </w:r>
    </w:p>
    <w:p w:rsidR="00942523" w:rsidRDefault="00942523" w:rsidP="00942523">
      <w:pPr>
        <w:pStyle w:val="NoSpacing"/>
        <w:ind w:left="720"/>
      </w:pPr>
    </w:p>
    <w:p w:rsidR="00942523" w:rsidRDefault="00942523" w:rsidP="00942523">
      <w:pPr>
        <w:pStyle w:val="NoSpacing"/>
        <w:ind w:left="720"/>
      </w:pPr>
      <w:r>
        <w:t>Medical decision limits are at 3.5 (luteinising uterus for NF), 30 (day 21 - ovulating). The bias between the two assays at the lower medical decision limit is high, however reference intervals have also changed. See graphs — good correlation, except at lower concentrations. Go ahead with assay.</w:t>
      </w:r>
    </w:p>
    <w:p w:rsidR="008B705B" w:rsidRPr="008B705B" w:rsidRDefault="008B705B" w:rsidP="008B705B">
      <w:pPr>
        <w:pStyle w:val="NoSpacing"/>
        <w:ind w:left="720"/>
        <w:rPr>
          <w:b/>
        </w:rPr>
      </w:pPr>
      <w:r w:rsidRPr="008B705B">
        <w:rPr>
          <w:b/>
        </w:rPr>
        <w:t>[5]</w:t>
      </w:r>
    </w:p>
    <w:p w:rsidR="008B705B" w:rsidRDefault="008B705B" w:rsidP="008B705B">
      <w:pPr>
        <w:pStyle w:val="NoSpacing"/>
      </w:pPr>
    </w:p>
    <w:p w:rsidR="008B705B" w:rsidRDefault="008B705B" w:rsidP="008B705B">
      <w:pPr>
        <w:pStyle w:val="NoSpacing"/>
      </w:pPr>
    </w:p>
    <w:p w:rsidR="00942523" w:rsidRDefault="00942523" w:rsidP="006C29A8">
      <w:pPr>
        <w:pStyle w:val="NoSpacing"/>
        <w:numPr>
          <w:ilvl w:val="0"/>
          <w:numId w:val="11"/>
        </w:numPr>
      </w:pPr>
      <w:r>
        <w:t>Method comparison had too few samples (only 17 vs 40) and although it did not cover the entire range of physi</w:t>
      </w:r>
      <w:r w:rsidR="006C29A8">
        <w:t>ological results,</w:t>
      </w:r>
      <w:r>
        <w:t xml:space="preserve"> it covers the range associated with important</w:t>
      </w:r>
      <w:r w:rsidR="006C29A8">
        <w:t xml:space="preserve"> decision limits mentioned in (b).  However</w:t>
      </w:r>
      <w:r>
        <w:t xml:space="preserve"> good correlation, and appropriate values tested for EP15-3 study.</w:t>
      </w:r>
    </w:p>
    <w:p w:rsidR="00942523" w:rsidRPr="008B705B" w:rsidRDefault="008B705B" w:rsidP="008B705B">
      <w:pPr>
        <w:pStyle w:val="NoSpacing"/>
        <w:ind w:left="720"/>
        <w:rPr>
          <w:b/>
        </w:rPr>
      </w:pPr>
      <w:r w:rsidRPr="008B705B">
        <w:rPr>
          <w:b/>
        </w:rPr>
        <w:t>[5]</w:t>
      </w:r>
    </w:p>
    <w:p w:rsidR="008B705B" w:rsidRDefault="008B705B" w:rsidP="008B705B">
      <w:pPr>
        <w:pStyle w:val="NoSpacing"/>
        <w:ind w:left="720"/>
      </w:pPr>
    </w:p>
    <w:p w:rsidR="008B705B" w:rsidRDefault="008B705B"/>
    <w:p w:rsidR="008B705B" w:rsidRDefault="008B705B"/>
    <w:p w:rsidR="00A75335" w:rsidRPr="008B705B" w:rsidRDefault="00A75335" w:rsidP="001644DA">
      <w:pPr>
        <w:pStyle w:val="NoSpacing"/>
        <w:rPr>
          <w:b/>
        </w:rPr>
      </w:pPr>
      <w:r w:rsidRPr="008B705B">
        <w:rPr>
          <w:b/>
        </w:rPr>
        <w:t xml:space="preserve">Extra notes: </w:t>
      </w:r>
    </w:p>
    <w:p w:rsidR="00A75335" w:rsidRDefault="00A75335" w:rsidP="001644DA">
      <w:pPr>
        <w:pStyle w:val="NoSpacing"/>
      </w:pPr>
    </w:p>
    <w:p w:rsidR="00A75335" w:rsidRDefault="00A75335" w:rsidP="00A75335">
      <w:pPr>
        <w:pStyle w:val="NoSpacing"/>
      </w:pPr>
      <w:r>
        <w:t>Assay changes from Progesterone II to Progesterone III:</w:t>
      </w:r>
    </w:p>
    <w:p w:rsidR="00A75335" w:rsidRDefault="00A75335" w:rsidP="00A75335">
      <w:pPr>
        <w:pStyle w:val="NoSpacing"/>
        <w:ind w:left="720"/>
      </w:pPr>
    </w:p>
    <w:p w:rsidR="00A75335" w:rsidRDefault="00A75335" w:rsidP="00A75335">
      <w:pPr>
        <w:pStyle w:val="NoSpacing"/>
        <w:numPr>
          <w:ilvl w:val="0"/>
          <w:numId w:val="9"/>
        </w:numPr>
        <w:ind w:left="1440"/>
      </w:pPr>
      <w:r>
        <w:t>New calibrator</w:t>
      </w:r>
    </w:p>
    <w:p w:rsidR="00A75335" w:rsidRDefault="00A75335" w:rsidP="00A75335">
      <w:pPr>
        <w:pStyle w:val="NoSpacing"/>
        <w:ind w:left="2160"/>
      </w:pPr>
      <w:r>
        <w:t>II= mouse monoclonal; III = sheep monoclonal</w:t>
      </w:r>
    </w:p>
    <w:p w:rsidR="00A75335" w:rsidRDefault="00A75335" w:rsidP="00A75335">
      <w:pPr>
        <w:pStyle w:val="NoSpacing"/>
        <w:ind w:left="2160"/>
      </w:pPr>
    </w:p>
    <w:p w:rsidR="00A75335" w:rsidRDefault="00A75335" w:rsidP="00A75335">
      <w:pPr>
        <w:pStyle w:val="NoSpacing"/>
        <w:numPr>
          <w:ilvl w:val="0"/>
          <w:numId w:val="9"/>
        </w:numPr>
        <w:ind w:left="1440"/>
      </w:pPr>
      <w:r>
        <w:t>Measuring range change:</w:t>
      </w:r>
    </w:p>
    <w:p w:rsidR="00A75335" w:rsidRDefault="00A75335" w:rsidP="00A75335">
      <w:pPr>
        <w:pStyle w:val="NoSpacing"/>
        <w:ind w:left="2160"/>
      </w:pPr>
      <w:r>
        <w:t xml:space="preserve">II = 0.095 – 191 </w:t>
      </w:r>
      <w:proofErr w:type="spellStart"/>
      <w:r>
        <w:t>nmol</w:t>
      </w:r>
      <w:proofErr w:type="spellEnd"/>
      <w:r>
        <w:t>/L</w:t>
      </w:r>
    </w:p>
    <w:p w:rsidR="00A75335" w:rsidRDefault="00A75335" w:rsidP="00A75335">
      <w:pPr>
        <w:pStyle w:val="NoSpacing"/>
        <w:ind w:left="2160"/>
      </w:pPr>
      <w:r>
        <w:t xml:space="preserve">III = 0.159 – 191 </w:t>
      </w:r>
      <w:proofErr w:type="spellStart"/>
      <w:r>
        <w:t>nmol</w:t>
      </w:r>
      <w:proofErr w:type="spellEnd"/>
      <w:r>
        <w:t>/L</w:t>
      </w:r>
    </w:p>
    <w:p w:rsidR="00A75335" w:rsidRDefault="00A75335" w:rsidP="00A75335">
      <w:pPr>
        <w:pStyle w:val="NoSpacing"/>
        <w:ind w:left="2160"/>
      </w:pPr>
    </w:p>
    <w:p w:rsidR="00A75335" w:rsidRDefault="00A75335" w:rsidP="00A75335">
      <w:pPr>
        <w:pStyle w:val="NoSpacing"/>
        <w:numPr>
          <w:ilvl w:val="0"/>
          <w:numId w:val="9"/>
        </w:numPr>
        <w:ind w:left="1440"/>
      </w:pPr>
      <w:proofErr w:type="spellStart"/>
      <w:r>
        <w:t>LOQ</w:t>
      </w:r>
      <w:proofErr w:type="spellEnd"/>
      <w:r>
        <w:t xml:space="preserve"> = 0.636 </w:t>
      </w:r>
      <w:proofErr w:type="spellStart"/>
      <w:r>
        <w:t>nmol</w:t>
      </w:r>
      <w:proofErr w:type="spellEnd"/>
      <w:r>
        <w:t>/L</w:t>
      </w:r>
    </w:p>
    <w:p w:rsidR="00A75335" w:rsidRDefault="00A75335" w:rsidP="00A75335">
      <w:pPr>
        <w:pStyle w:val="NoSpacing"/>
      </w:pPr>
    </w:p>
    <w:p w:rsidR="00A75335" w:rsidRDefault="00A75335" w:rsidP="00A75335">
      <w:pPr>
        <w:pStyle w:val="NoSpacing"/>
        <w:numPr>
          <w:ilvl w:val="0"/>
          <w:numId w:val="9"/>
        </w:numPr>
        <w:ind w:left="1440"/>
      </w:pPr>
      <w:r>
        <w:t>Diluent still the same= E2/</w:t>
      </w:r>
      <w:proofErr w:type="spellStart"/>
      <w:r>
        <w:t>Prg</w:t>
      </w:r>
      <w:proofErr w:type="spellEnd"/>
      <w:r>
        <w:t xml:space="preserve"> 1:10 manual</w:t>
      </w:r>
    </w:p>
    <w:p w:rsidR="00A75335" w:rsidRDefault="00A75335" w:rsidP="00A75335">
      <w:pPr>
        <w:pStyle w:val="NoSpacing"/>
      </w:pPr>
    </w:p>
    <w:p w:rsidR="00A75335" w:rsidRDefault="00A75335" w:rsidP="00A75335">
      <w:pPr>
        <w:pStyle w:val="NoSpacing"/>
        <w:numPr>
          <w:ilvl w:val="0"/>
          <w:numId w:val="9"/>
        </w:numPr>
        <w:ind w:left="1440"/>
      </w:pPr>
      <w:r>
        <w:t>Traceability to ID-GC/MS</w:t>
      </w:r>
    </w:p>
    <w:p w:rsidR="00A75335" w:rsidRDefault="00A75335" w:rsidP="00A75335">
      <w:pPr>
        <w:pStyle w:val="NoSpacing"/>
        <w:ind w:left="2160"/>
      </w:pPr>
      <w:r>
        <w:t>II vs ID-GC/MS: y = 0.97x + 0.26 (ng/ml)</w:t>
      </w:r>
      <w:r>
        <w:tab/>
      </w:r>
      <w:r>
        <w:tab/>
        <w:t xml:space="preserve">=0.97x+0.827 (in </w:t>
      </w:r>
      <w:proofErr w:type="spellStart"/>
      <w:r>
        <w:t>nmol</w:t>
      </w:r>
      <w:proofErr w:type="spellEnd"/>
      <w:r>
        <w:t>/L)</w:t>
      </w:r>
    </w:p>
    <w:p w:rsidR="00A75335" w:rsidRDefault="00A75335" w:rsidP="00A75335">
      <w:pPr>
        <w:pStyle w:val="NoSpacing"/>
        <w:ind w:left="2160"/>
      </w:pPr>
      <w:r w:rsidRPr="006C29A8">
        <w:t>III vs ID-GC/MS: y = 0.912x + 0.610 (ng/ml)</w:t>
      </w:r>
      <w:r w:rsidRPr="006C29A8">
        <w:tab/>
        <w:t xml:space="preserve">= 0.91x + 1.94 (in </w:t>
      </w:r>
      <w:proofErr w:type="spellStart"/>
      <w:r w:rsidRPr="006C29A8">
        <w:t>nmol</w:t>
      </w:r>
      <w:proofErr w:type="spellEnd"/>
      <w:r w:rsidRPr="006C29A8">
        <w:t>/L)</w:t>
      </w:r>
    </w:p>
    <w:p w:rsidR="00A75335" w:rsidRDefault="00A75335" w:rsidP="00A75335">
      <w:pPr>
        <w:pStyle w:val="NoSpacing"/>
        <w:ind w:left="2160"/>
      </w:pPr>
    </w:p>
    <w:p w:rsidR="00A75335" w:rsidRDefault="00A75335" w:rsidP="00A75335">
      <w:pPr>
        <w:pStyle w:val="NoSpacing"/>
        <w:numPr>
          <w:ilvl w:val="0"/>
          <w:numId w:val="9"/>
        </w:numPr>
        <w:ind w:left="1440"/>
      </w:pPr>
      <w:r w:rsidRPr="006C29A8">
        <w:t>Reference intervals have changed:</w:t>
      </w:r>
    </w:p>
    <w:p w:rsidR="00A75335" w:rsidRDefault="00A75335" w:rsidP="00A75335">
      <w:pPr>
        <w:pStyle w:val="NoSpacing"/>
        <w:ind w:left="720"/>
      </w:pPr>
    </w:p>
    <w:p w:rsidR="00A75335" w:rsidRDefault="00A75335" w:rsidP="00A75335">
      <w:pPr>
        <w:pStyle w:val="NoSpacing"/>
        <w:ind w:left="720"/>
      </w:pPr>
      <w:r>
        <w:rPr>
          <w:noProof/>
          <w:lang w:eastAsia="en-ZA"/>
        </w:rPr>
        <w:lastRenderedPageBreak/>
        <w:drawing>
          <wp:inline distT="0" distB="0" distL="0" distR="0" wp14:anchorId="131CC0A3" wp14:editId="5116F8F7">
            <wp:extent cx="3857625" cy="271877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7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335" w:rsidRDefault="00A75335" w:rsidP="00A75335">
      <w:pPr>
        <w:pStyle w:val="NoSpacing"/>
        <w:ind w:left="720"/>
      </w:pPr>
    </w:p>
    <w:p w:rsidR="00A75335" w:rsidRPr="006C29A8" w:rsidRDefault="00A75335" w:rsidP="00A75335">
      <w:pPr>
        <w:pStyle w:val="NoSpacing"/>
        <w:ind w:left="720"/>
        <w:rPr>
          <w:b/>
        </w:rPr>
      </w:pPr>
      <w:r w:rsidRPr="006C29A8">
        <w:rPr>
          <w:b/>
        </w:rPr>
        <w:t xml:space="preserve">Expected values </w:t>
      </w:r>
      <w:proofErr w:type="spellStart"/>
      <w:r w:rsidRPr="006C29A8">
        <w:rPr>
          <w:b/>
        </w:rPr>
        <w:t>Prog</w:t>
      </w:r>
      <w:proofErr w:type="spellEnd"/>
      <w:r w:rsidRPr="006C29A8">
        <w:rPr>
          <w:b/>
        </w:rPr>
        <w:t xml:space="preserve"> III:</w:t>
      </w:r>
    </w:p>
    <w:tbl>
      <w:tblPr>
        <w:tblStyle w:val="TableGrid"/>
        <w:tblW w:w="9016" w:type="dxa"/>
        <w:tblInd w:w="720" w:type="dxa"/>
        <w:tblLook w:val="04A0" w:firstRow="1" w:lastRow="0" w:firstColumn="1" w:lastColumn="0" w:noHBand="0" w:noVBand="1"/>
      </w:tblPr>
      <w:tblGrid>
        <w:gridCol w:w="3277"/>
        <w:gridCol w:w="566"/>
        <w:gridCol w:w="2353"/>
        <w:gridCol w:w="2820"/>
      </w:tblGrid>
      <w:tr w:rsidR="00A75335" w:rsidRPr="006C29A8" w:rsidTr="008450E0">
        <w:tc>
          <w:tcPr>
            <w:tcW w:w="3277" w:type="dxa"/>
          </w:tcPr>
          <w:p w:rsidR="00A75335" w:rsidRPr="006C29A8" w:rsidRDefault="00A75335" w:rsidP="008450E0">
            <w:pPr>
              <w:rPr>
                <w:b/>
              </w:rPr>
            </w:pPr>
            <w:r w:rsidRPr="006C29A8">
              <w:rPr>
                <w:b/>
              </w:rPr>
              <w:t>Test subjects</w:t>
            </w:r>
          </w:p>
        </w:tc>
        <w:tc>
          <w:tcPr>
            <w:tcW w:w="566" w:type="dxa"/>
          </w:tcPr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N</w:t>
            </w:r>
          </w:p>
        </w:tc>
        <w:tc>
          <w:tcPr>
            <w:tcW w:w="2353" w:type="dxa"/>
          </w:tcPr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5</w:t>
            </w:r>
            <w:r w:rsidRPr="006C29A8">
              <w:rPr>
                <w:b/>
                <w:vertAlign w:val="superscript"/>
              </w:rPr>
              <w:t>th</w:t>
            </w:r>
            <w:r w:rsidRPr="006C29A8">
              <w:rPr>
                <w:b/>
              </w:rPr>
              <w:t xml:space="preserve"> percentile (</w:t>
            </w:r>
            <w:proofErr w:type="spellStart"/>
            <w:r w:rsidRPr="006C29A8">
              <w:rPr>
                <w:b/>
              </w:rPr>
              <w:t>nmol</w:t>
            </w:r>
            <w:proofErr w:type="spellEnd"/>
            <w:r w:rsidRPr="006C29A8">
              <w:rPr>
                <w:b/>
              </w:rPr>
              <w:t>/L)</w:t>
            </w:r>
          </w:p>
        </w:tc>
        <w:tc>
          <w:tcPr>
            <w:tcW w:w="2820" w:type="dxa"/>
          </w:tcPr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95</w:t>
            </w:r>
            <w:r w:rsidRPr="006C29A8">
              <w:rPr>
                <w:b/>
                <w:vertAlign w:val="superscript"/>
              </w:rPr>
              <w:t>th</w:t>
            </w:r>
            <w:r w:rsidRPr="006C29A8">
              <w:rPr>
                <w:b/>
              </w:rPr>
              <w:t xml:space="preserve"> percentile (</w:t>
            </w:r>
            <w:proofErr w:type="spellStart"/>
            <w:r w:rsidRPr="006C29A8">
              <w:rPr>
                <w:b/>
              </w:rPr>
              <w:t>nmol</w:t>
            </w:r>
            <w:proofErr w:type="spellEnd"/>
            <w:r w:rsidRPr="006C29A8">
              <w:rPr>
                <w:b/>
              </w:rPr>
              <w:t>/L)</w:t>
            </w:r>
          </w:p>
        </w:tc>
      </w:tr>
      <w:tr w:rsidR="00A75335" w:rsidTr="008450E0">
        <w:tc>
          <w:tcPr>
            <w:tcW w:w="3277" w:type="dxa"/>
          </w:tcPr>
          <w:p w:rsidR="00A75335" w:rsidRDefault="00A75335" w:rsidP="008450E0">
            <w:r>
              <w:t>Healthy men</w:t>
            </w:r>
          </w:p>
        </w:tc>
        <w:tc>
          <w:tcPr>
            <w:tcW w:w="566" w:type="dxa"/>
          </w:tcPr>
          <w:p w:rsidR="00A75335" w:rsidRDefault="00A75335" w:rsidP="008450E0">
            <w:pPr>
              <w:jc w:val="center"/>
            </w:pPr>
            <w:r>
              <w:t>147</w:t>
            </w:r>
          </w:p>
        </w:tc>
        <w:tc>
          <w:tcPr>
            <w:tcW w:w="2353" w:type="dxa"/>
          </w:tcPr>
          <w:p w:rsidR="00A75335" w:rsidRDefault="00A75335" w:rsidP="008450E0">
            <w:pPr>
              <w:jc w:val="center"/>
            </w:pPr>
            <w:r>
              <w:t>&lt;0.159</w:t>
            </w:r>
          </w:p>
        </w:tc>
        <w:tc>
          <w:tcPr>
            <w:tcW w:w="2820" w:type="dxa"/>
          </w:tcPr>
          <w:p w:rsidR="00A75335" w:rsidRDefault="00A75335" w:rsidP="008450E0">
            <w:pPr>
              <w:jc w:val="center"/>
            </w:pPr>
            <w:r>
              <w:t>0.474</w:t>
            </w:r>
          </w:p>
        </w:tc>
      </w:tr>
      <w:tr w:rsidR="00A75335" w:rsidTr="008450E0">
        <w:tc>
          <w:tcPr>
            <w:tcW w:w="3277" w:type="dxa"/>
          </w:tcPr>
          <w:p w:rsidR="00A75335" w:rsidRDefault="00A75335" w:rsidP="008450E0">
            <w:r>
              <w:t>Healthy women:</w:t>
            </w:r>
          </w:p>
        </w:tc>
        <w:tc>
          <w:tcPr>
            <w:tcW w:w="566" w:type="dxa"/>
          </w:tcPr>
          <w:p w:rsidR="00A75335" w:rsidRDefault="00A75335" w:rsidP="008450E0">
            <w:pPr>
              <w:jc w:val="center"/>
            </w:pPr>
          </w:p>
        </w:tc>
        <w:tc>
          <w:tcPr>
            <w:tcW w:w="2353" w:type="dxa"/>
          </w:tcPr>
          <w:p w:rsidR="00A75335" w:rsidRDefault="00A75335" w:rsidP="008450E0">
            <w:pPr>
              <w:jc w:val="center"/>
            </w:pPr>
          </w:p>
        </w:tc>
        <w:tc>
          <w:tcPr>
            <w:tcW w:w="2820" w:type="dxa"/>
          </w:tcPr>
          <w:p w:rsidR="00A75335" w:rsidRDefault="00A75335" w:rsidP="008450E0">
            <w:pPr>
              <w:jc w:val="center"/>
            </w:pPr>
          </w:p>
        </w:tc>
      </w:tr>
      <w:tr w:rsidR="00A75335" w:rsidTr="008450E0">
        <w:tc>
          <w:tcPr>
            <w:tcW w:w="3277" w:type="dxa"/>
          </w:tcPr>
          <w:p w:rsidR="00A75335" w:rsidRDefault="00A75335" w:rsidP="008450E0">
            <w:r>
              <w:t>Follicular phase</w:t>
            </w:r>
          </w:p>
        </w:tc>
        <w:tc>
          <w:tcPr>
            <w:tcW w:w="566" w:type="dxa"/>
          </w:tcPr>
          <w:p w:rsidR="00A75335" w:rsidRDefault="00A75335" w:rsidP="008450E0">
            <w:pPr>
              <w:jc w:val="center"/>
            </w:pPr>
            <w:r>
              <w:t>117</w:t>
            </w:r>
          </w:p>
        </w:tc>
        <w:tc>
          <w:tcPr>
            <w:tcW w:w="2353" w:type="dxa"/>
          </w:tcPr>
          <w:p w:rsidR="00A75335" w:rsidRDefault="00A75335" w:rsidP="008450E0">
            <w:pPr>
              <w:jc w:val="center"/>
            </w:pPr>
            <w:r>
              <w:t>0.181</w:t>
            </w:r>
          </w:p>
        </w:tc>
        <w:tc>
          <w:tcPr>
            <w:tcW w:w="2820" w:type="dxa"/>
          </w:tcPr>
          <w:p w:rsidR="00A75335" w:rsidRDefault="00A75335" w:rsidP="008450E0">
            <w:pPr>
              <w:jc w:val="center"/>
            </w:pPr>
            <w:r>
              <w:t>2.84</w:t>
            </w:r>
          </w:p>
        </w:tc>
      </w:tr>
      <w:tr w:rsidR="00A75335" w:rsidTr="008450E0">
        <w:tc>
          <w:tcPr>
            <w:tcW w:w="3277" w:type="dxa"/>
          </w:tcPr>
          <w:p w:rsidR="00A75335" w:rsidRDefault="00A75335" w:rsidP="008450E0">
            <w:r>
              <w:t>Ovulation phase</w:t>
            </w:r>
          </w:p>
        </w:tc>
        <w:tc>
          <w:tcPr>
            <w:tcW w:w="566" w:type="dxa"/>
          </w:tcPr>
          <w:p w:rsidR="00A75335" w:rsidRDefault="00A75335" w:rsidP="008450E0">
            <w:pPr>
              <w:jc w:val="center"/>
            </w:pPr>
            <w:r>
              <w:t>38</w:t>
            </w:r>
          </w:p>
        </w:tc>
        <w:tc>
          <w:tcPr>
            <w:tcW w:w="2353" w:type="dxa"/>
          </w:tcPr>
          <w:p w:rsidR="00A75335" w:rsidRDefault="00A75335" w:rsidP="008450E0">
            <w:pPr>
              <w:jc w:val="center"/>
            </w:pPr>
            <w:r>
              <w:t>0.385</w:t>
            </w:r>
          </w:p>
        </w:tc>
        <w:tc>
          <w:tcPr>
            <w:tcW w:w="2820" w:type="dxa"/>
          </w:tcPr>
          <w:p w:rsidR="00A75335" w:rsidRDefault="00A75335" w:rsidP="008450E0">
            <w:pPr>
              <w:jc w:val="center"/>
            </w:pPr>
            <w:r>
              <w:t>38.1</w:t>
            </w:r>
          </w:p>
        </w:tc>
      </w:tr>
      <w:tr w:rsidR="00A75335" w:rsidTr="008450E0">
        <w:tc>
          <w:tcPr>
            <w:tcW w:w="3277" w:type="dxa"/>
          </w:tcPr>
          <w:p w:rsidR="00A75335" w:rsidRDefault="00A75335" w:rsidP="008450E0">
            <w:r>
              <w:t>Luteal phase</w:t>
            </w:r>
          </w:p>
        </w:tc>
        <w:tc>
          <w:tcPr>
            <w:tcW w:w="566" w:type="dxa"/>
          </w:tcPr>
          <w:p w:rsidR="00A75335" w:rsidRDefault="00A75335" w:rsidP="008450E0">
            <w:pPr>
              <w:jc w:val="center"/>
            </w:pPr>
            <w:r>
              <w:t>126</w:t>
            </w:r>
          </w:p>
        </w:tc>
        <w:tc>
          <w:tcPr>
            <w:tcW w:w="2353" w:type="dxa"/>
          </w:tcPr>
          <w:p w:rsidR="00A75335" w:rsidRDefault="00A75335" w:rsidP="008450E0">
            <w:pPr>
              <w:jc w:val="center"/>
            </w:pPr>
            <w:r>
              <w:t>5.82</w:t>
            </w:r>
          </w:p>
        </w:tc>
        <w:tc>
          <w:tcPr>
            <w:tcW w:w="2820" w:type="dxa"/>
          </w:tcPr>
          <w:p w:rsidR="00A75335" w:rsidRDefault="00A75335" w:rsidP="008450E0">
            <w:pPr>
              <w:jc w:val="center"/>
            </w:pPr>
            <w:r>
              <w:t>75.9</w:t>
            </w:r>
          </w:p>
        </w:tc>
      </w:tr>
      <w:tr w:rsidR="00A75335" w:rsidTr="008450E0">
        <w:tc>
          <w:tcPr>
            <w:tcW w:w="3277" w:type="dxa"/>
          </w:tcPr>
          <w:p w:rsidR="00A75335" w:rsidRDefault="00A75335" w:rsidP="008450E0">
            <w:r>
              <w:t>Post-menopause</w:t>
            </w:r>
          </w:p>
        </w:tc>
        <w:tc>
          <w:tcPr>
            <w:tcW w:w="566" w:type="dxa"/>
          </w:tcPr>
          <w:p w:rsidR="00A75335" w:rsidRDefault="00A75335" w:rsidP="008450E0">
            <w:pPr>
              <w:jc w:val="center"/>
            </w:pPr>
            <w:r>
              <w:t>142</w:t>
            </w:r>
          </w:p>
        </w:tc>
        <w:tc>
          <w:tcPr>
            <w:tcW w:w="2353" w:type="dxa"/>
          </w:tcPr>
          <w:p w:rsidR="00A75335" w:rsidRDefault="00A75335" w:rsidP="008450E0">
            <w:pPr>
              <w:jc w:val="center"/>
            </w:pPr>
            <w:r>
              <w:t>&lt;0.159</w:t>
            </w:r>
          </w:p>
        </w:tc>
        <w:tc>
          <w:tcPr>
            <w:tcW w:w="2820" w:type="dxa"/>
          </w:tcPr>
          <w:p w:rsidR="00A75335" w:rsidRDefault="00A75335" w:rsidP="008450E0">
            <w:pPr>
              <w:jc w:val="center"/>
            </w:pPr>
            <w:r>
              <w:t>0.401</w:t>
            </w:r>
          </w:p>
        </w:tc>
      </w:tr>
    </w:tbl>
    <w:p w:rsidR="00A75335" w:rsidRDefault="00A75335" w:rsidP="00A75335">
      <w:pPr>
        <w:pStyle w:val="NoSpacing"/>
        <w:ind w:left="720"/>
      </w:pPr>
    </w:p>
    <w:tbl>
      <w:tblPr>
        <w:tblStyle w:val="TableGrid"/>
        <w:tblW w:w="8323" w:type="dxa"/>
        <w:tblInd w:w="720" w:type="dxa"/>
        <w:tblLook w:val="04A0" w:firstRow="1" w:lastRow="0" w:firstColumn="1" w:lastColumn="0" w:noHBand="0" w:noVBand="1"/>
      </w:tblPr>
      <w:tblGrid>
        <w:gridCol w:w="2308"/>
        <w:gridCol w:w="1417"/>
        <w:gridCol w:w="1560"/>
        <w:gridCol w:w="1559"/>
        <w:gridCol w:w="1479"/>
      </w:tblGrid>
      <w:tr w:rsidR="00A75335" w:rsidRPr="006C29A8" w:rsidTr="008450E0">
        <w:tc>
          <w:tcPr>
            <w:tcW w:w="2308" w:type="dxa"/>
          </w:tcPr>
          <w:p w:rsidR="00A75335" w:rsidRPr="006C29A8" w:rsidRDefault="00A75335" w:rsidP="008450E0">
            <w:pPr>
              <w:rPr>
                <w:b/>
              </w:rPr>
            </w:pPr>
          </w:p>
        </w:tc>
        <w:tc>
          <w:tcPr>
            <w:tcW w:w="2977" w:type="dxa"/>
            <w:gridSpan w:val="2"/>
          </w:tcPr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OLD ASSAY</w:t>
            </w:r>
          </w:p>
        </w:tc>
        <w:tc>
          <w:tcPr>
            <w:tcW w:w="3038" w:type="dxa"/>
            <w:gridSpan w:val="2"/>
          </w:tcPr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NEW ASSAY</w:t>
            </w:r>
          </w:p>
        </w:tc>
      </w:tr>
      <w:tr w:rsidR="00A75335" w:rsidRPr="006C29A8" w:rsidTr="008450E0">
        <w:tc>
          <w:tcPr>
            <w:tcW w:w="2308" w:type="dxa"/>
          </w:tcPr>
          <w:p w:rsidR="00A75335" w:rsidRPr="006C29A8" w:rsidRDefault="00A75335" w:rsidP="008450E0">
            <w:pPr>
              <w:rPr>
                <w:b/>
              </w:rPr>
            </w:pPr>
            <w:r w:rsidRPr="006C29A8">
              <w:rPr>
                <w:b/>
              </w:rPr>
              <w:t>Test subjects</w:t>
            </w:r>
          </w:p>
        </w:tc>
        <w:tc>
          <w:tcPr>
            <w:tcW w:w="1417" w:type="dxa"/>
          </w:tcPr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5</w:t>
            </w:r>
            <w:r w:rsidRPr="006C29A8">
              <w:rPr>
                <w:b/>
                <w:vertAlign w:val="superscript"/>
              </w:rPr>
              <w:t>th</w:t>
            </w:r>
            <w:r w:rsidRPr="006C29A8">
              <w:rPr>
                <w:b/>
              </w:rPr>
              <w:t xml:space="preserve"> </w:t>
            </w:r>
          </w:p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percentile (</w:t>
            </w:r>
            <w:proofErr w:type="spellStart"/>
            <w:r w:rsidRPr="006C29A8">
              <w:rPr>
                <w:b/>
              </w:rPr>
              <w:t>nmol</w:t>
            </w:r>
            <w:proofErr w:type="spellEnd"/>
            <w:r w:rsidRPr="006C29A8">
              <w:rPr>
                <w:b/>
              </w:rPr>
              <w:t>/L)</w:t>
            </w:r>
          </w:p>
        </w:tc>
        <w:tc>
          <w:tcPr>
            <w:tcW w:w="1560" w:type="dxa"/>
          </w:tcPr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95</w:t>
            </w:r>
            <w:r w:rsidRPr="006C29A8">
              <w:rPr>
                <w:b/>
                <w:vertAlign w:val="superscript"/>
              </w:rPr>
              <w:t>th</w:t>
            </w:r>
            <w:r w:rsidRPr="006C29A8">
              <w:rPr>
                <w:b/>
              </w:rPr>
              <w:t xml:space="preserve"> </w:t>
            </w:r>
          </w:p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percentile (</w:t>
            </w:r>
            <w:proofErr w:type="spellStart"/>
            <w:r w:rsidRPr="006C29A8">
              <w:rPr>
                <w:b/>
              </w:rPr>
              <w:t>nmol</w:t>
            </w:r>
            <w:proofErr w:type="spellEnd"/>
            <w:r w:rsidRPr="006C29A8">
              <w:rPr>
                <w:b/>
              </w:rPr>
              <w:t>/L)</w:t>
            </w:r>
          </w:p>
        </w:tc>
        <w:tc>
          <w:tcPr>
            <w:tcW w:w="1559" w:type="dxa"/>
          </w:tcPr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5</w:t>
            </w:r>
            <w:r w:rsidRPr="006C29A8">
              <w:rPr>
                <w:b/>
                <w:vertAlign w:val="superscript"/>
              </w:rPr>
              <w:t>th</w:t>
            </w:r>
            <w:r w:rsidRPr="006C29A8">
              <w:rPr>
                <w:b/>
              </w:rPr>
              <w:t xml:space="preserve"> </w:t>
            </w:r>
          </w:p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percentile (</w:t>
            </w:r>
            <w:proofErr w:type="spellStart"/>
            <w:r w:rsidRPr="006C29A8">
              <w:rPr>
                <w:b/>
              </w:rPr>
              <w:t>nmol</w:t>
            </w:r>
            <w:proofErr w:type="spellEnd"/>
            <w:r w:rsidRPr="006C29A8">
              <w:rPr>
                <w:b/>
              </w:rPr>
              <w:t>/L)</w:t>
            </w:r>
          </w:p>
        </w:tc>
        <w:tc>
          <w:tcPr>
            <w:tcW w:w="1479" w:type="dxa"/>
          </w:tcPr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95</w:t>
            </w:r>
            <w:r w:rsidRPr="006C29A8">
              <w:rPr>
                <w:b/>
                <w:vertAlign w:val="superscript"/>
              </w:rPr>
              <w:t>th</w:t>
            </w:r>
            <w:r w:rsidRPr="006C29A8">
              <w:rPr>
                <w:b/>
              </w:rPr>
              <w:t xml:space="preserve"> </w:t>
            </w:r>
          </w:p>
          <w:p w:rsidR="00A75335" w:rsidRPr="006C29A8" w:rsidRDefault="00A75335" w:rsidP="008450E0">
            <w:pPr>
              <w:jc w:val="center"/>
              <w:rPr>
                <w:b/>
              </w:rPr>
            </w:pPr>
            <w:r w:rsidRPr="006C29A8">
              <w:rPr>
                <w:b/>
              </w:rPr>
              <w:t>percentile (</w:t>
            </w:r>
            <w:proofErr w:type="spellStart"/>
            <w:r w:rsidRPr="006C29A8">
              <w:rPr>
                <w:b/>
              </w:rPr>
              <w:t>nmol</w:t>
            </w:r>
            <w:proofErr w:type="spellEnd"/>
            <w:r w:rsidRPr="006C29A8">
              <w:rPr>
                <w:b/>
              </w:rPr>
              <w:t>/L)</w:t>
            </w:r>
          </w:p>
        </w:tc>
      </w:tr>
      <w:tr w:rsidR="00A75335" w:rsidTr="008450E0">
        <w:tc>
          <w:tcPr>
            <w:tcW w:w="2308" w:type="dxa"/>
          </w:tcPr>
          <w:p w:rsidR="00A75335" w:rsidRDefault="00A75335" w:rsidP="008450E0">
            <w:r>
              <w:t>Healthy men</w:t>
            </w:r>
          </w:p>
        </w:tc>
        <w:tc>
          <w:tcPr>
            <w:tcW w:w="1417" w:type="dxa"/>
          </w:tcPr>
          <w:p w:rsidR="00A75335" w:rsidRDefault="00A75335" w:rsidP="008450E0">
            <w:pPr>
              <w:jc w:val="center"/>
            </w:pPr>
            <w:r>
              <w:t>0.7</w:t>
            </w:r>
          </w:p>
        </w:tc>
        <w:tc>
          <w:tcPr>
            <w:tcW w:w="1560" w:type="dxa"/>
          </w:tcPr>
          <w:p w:rsidR="00A75335" w:rsidRDefault="00A75335" w:rsidP="008450E0">
            <w:pPr>
              <w:jc w:val="center"/>
            </w:pPr>
            <w:r>
              <w:t>4.3</w:t>
            </w:r>
          </w:p>
        </w:tc>
        <w:tc>
          <w:tcPr>
            <w:tcW w:w="1559" w:type="dxa"/>
          </w:tcPr>
          <w:p w:rsidR="00A75335" w:rsidRDefault="00A75335" w:rsidP="008450E0">
            <w:pPr>
              <w:jc w:val="center"/>
            </w:pPr>
            <w:r>
              <w:t>&lt;0.159</w:t>
            </w:r>
          </w:p>
        </w:tc>
        <w:tc>
          <w:tcPr>
            <w:tcW w:w="1479" w:type="dxa"/>
          </w:tcPr>
          <w:p w:rsidR="00A75335" w:rsidRDefault="00A75335" w:rsidP="008450E0">
            <w:pPr>
              <w:jc w:val="center"/>
            </w:pPr>
            <w:r>
              <w:t>0.474</w:t>
            </w:r>
          </w:p>
        </w:tc>
      </w:tr>
      <w:tr w:rsidR="00A75335" w:rsidTr="008450E0">
        <w:tc>
          <w:tcPr>
            <w:tcW w:w="2308" w:type="dxa"/>
          </w:tcPr>
          <w:p w:rsidR="00A75335" w:rsidRDefault="00A75335" w:rsidP="008450E0">
            <w:r>
              <w:t>Healthy women:</w:t>
            </w:r>
          </w:p>
        </w:tc>
        <w:tc>
          <w:tcPr>
            <w:tcW w:w="1417" w:type="dxa"/>
          </w:tcPr>
          <w:p w:rsidR="00A75335" w:rsidRDefault="00A75335" w:rsidP="008450E0">
            <w:pPr>
              <w:jc w:val="center"/>
            </w:pPr>
          </w:p>
        </w:tc>
        <w:tc>
          <w:tcPr>
            <w:tcW w:w="1560" w:type="dxa"/>
          </w:tcPr>
          <w:p w:rsidR="00A75335" w:rsidRDefault="00A75335" w:rsidP="008450E0">
            <w:pPr>
              <w:jc w:val="center"/>
            </w:pPr>
          </w:p>
        </w:tc>
        <w:tc>
          <w:tcPr>
            <w:tcW w:w="1559" w:type="dxa"/>
          </w:tcPr>
          <w:p w:rsidR="00A75335" w:rsidRDefault="00A75335" w:rsidP="008450E0">
            <w:pPr>
              <w:jc w:val="center"/>
            </w:pPr>
          </w:p>
        </w:tc>
        <w:tc>
          <w:tcPr>
            <w:tcW w:w="1479" w:type="dxa"/>
          </w:tcPr>
          <w:p w:rsidR="00A75335" w:rsidRDefault="00A75335" w:rsidP="008450E0">
            <w:pPr>
              <w:jc w:val="center"/>
            </w:pPr>
          </w:p>
        </w:tc>
      </w:tr>
      <w:tr w:rsidR="00A75335" w:rsidTr="008450E0">
        <w:tc>
          <w:tcPr>
            <w:tcW w:w="2308" w:type="dxa"/>
          </w:tcPr>
          <w:p w:rsidR="00A75335" w:rsidRDefault="00A75335" w:rsidP="008450E0">
            <w:r>
              <w:t>Follicular phase</w:t>
            </w:r>
          </w:p>
        </w:tc>
        <w:tc>
          <w:tcPr>
            <w:tcW w:w="1417" w:type="dxa"/>
          </w:tcPr>
          <w:p w:rsidR="00A75335" w:rsidRDefault="00A75335" w:rsidP="008450E0">
            <w:pPr>
              <w:jc w:val="center"/>
            </w:pPr>
            <w:r>
              <w:t>0.6</w:t>
            </w:r>
          </w:p>
        </w:tc>
        <w:tc>
          <w:tcPr>
            <w:tcW w:w="1560" w:type="dxa"/>
          </w:tcPr>
          <w:p w:rsidR="00A75335" w:rsidRDefault="00A75335" w:rsidP="008450E0">
            <w:pPr>
              <w:jc w:val="center"/>
            </w:pPr>
            <w:r>
              <w:t>4.7</w:t>
            </w:r>
          </w:p>
        </w:tc>
        <w:tc>
          <w:tcPr>
            <w:tcW w:w="1559" w:type="dxa"/>
          </w:tcPr>
          <w:p w:rsidR="00A75335" w:rsidRDefault="00A75335" w:rsidP="008450E0">
            <w:pPr>
              <w:jc w:val="center"/>
            </w:pPr>
            <w:r>
              <w:t>0.181</w:t>
            </w:r>
          </w:p>
        </w:tc>
        <w:tc>
          <w:tcPr>
            <w:tcW w:w="1479" w:type="dxa"/>
          </w:tcPr>
          <w:p w:rsidR="00A75335" w:rsidRDefault="00A75335" w:rsidP="008450E0">
            <w:pPr>
              <w:jc w:val="center"/>
            </w:pPr>
            <w:r>
              <w:t>2.84</w:t>
            </w:r>
          </w:p>
        </w:tc>
      </w:tr>
      <w:tr w:rsidR="00A75335" w:rsidTr="008450E0">
        <w:tc>
          <w:tcPr>
            <w:tcW w:w="2308" w:type="dxa"/>
          </w:tcPr>
          <w:p w:rsidR="00A75335" w:rsidRDefault="00A75335" w:rsidP="008450E0">
            <w:r>
              <w:t>Ovulation phase</w:t>
            </w:r>
          </w:p>
        </w:tc>
        <w:tc>
          <w:tcPr>
            <w:tcW w:w="1417" w:type="dxa"/>
          </w:tcPr>
          <w:p w:rsidR="00A75335" w:rsidRDefault="00A75335" w:rsidP="008450E0">
            <w:pPr>
              <w:jc w:val="center"/>
            </w:pPr>
            <w:r>
              <w:t>2.4</w:t>
            </w:r>
          </w:p>
        </w:tc>
        <w:tc>
          <w:tcPr>
            <w:tcW w:w="1560" w:type="dxa"/>
          </w:tcPr>
          <w:p w:rsidR="00A75335" w:rsidRDefault="00A75335" w:rsidP="008450E0">
            <w:pPr>
              <w:jc w:val="center"/>
            </w:pPr>
            <w:r>
              <w:t>9.4</w:t>
            </w:r>
          </w:p>
        </w:tc>
        <w:tc>
          <w:tcPr>
            <w:tcW w:w="1559" w:type="dxa"/>
          </w:tcPr>
          <w:p w:rsidR="00A75335" w:rsidRDefault="00A75335" w:rsidP="008450E0">
            <w:pPr>
              <w:jc w:val="center"/>
            </w:pPr>
            <w:r>
              <w:t>0.385</w:t>
            </w:r>
          </w:p>
        </w:tc>
        <w:tc>
          <w:tcPr>
            <w:tcW w:w="1479" w:type="dxa"/>
          </w:tcPr>
          <w:p w:rsidR="00A75335" w:rsidRDefault="00A75335" w:rsidP="008450E0">
            <w:pPr>
              <w:jc w:val="center"/>
            </w:pPr>
            <w:r>
              <w:t>38.1</w:t>
            </w:r>
          </w:p>
        </w:tc>
      </w:tr>
      <w:tr w:rsidR="00A75335" w:rsidTr="008450E0">
        <w:tc>
          <w:tcPr>
            <w:tcW w:w="2308" w:type="dxa"/>
          </w:tcPr>
          <w:p w:rsidR="00A75335" w:rsidRDefault="00A75335" w:rsidP="008450E0">
            <w:r>
              <w:t>Luteal phase</w:t>
            </w:r>
          </w:p>
        </w:tc>
        <w:tc>
          <w:tcPr>
            <w:tcW w:w="1417" w:type="dxa"/>
          </w:tcPr>
          <w:p w:rsidR="00A75335" w:rsidRDefault="00A75335" w:rsidP="008450E0">
            <w:pPr>
              <w:jc w:val="center"/>
            </w:pPr>
            <w:r>
              <w:t>5.3</w:t>
            </w:r>
          </w:p>
        </w:tc>
        <w:tc>
          <w:tcPr>
            <w:tcW w:w="1560" w:type="dxa"/>
          </w:tcPr>
          <w:p w:rsidR="00A75335" w:rsidRDefault="00A75335" w:rsidP="008450E0">
            <w:pPr>
              <w:jc w:val="center"/>
            </w:pPr>
            <w:r>
              <w:t>86</w:t>
            </w:r>
          </w:p>
        </w:tc>
        <w:tc>
          <w:tcPr>
            <w:tcW w:w="1559" w:type="dxa"/>
          </w:tcPr>
          <w:p w:rsidR="00A75335" w:rsidRDefault="00A75335" w:rsidP="008450E0">
            <w:pPr>
              <w:jc w:val="center"/>
            </w:pPr>
            <w:r>
              <w:t>5.82</w:t>
            </w:r>
          </w:p>
        </w:tc>
        <w:tc>
          <w:tcPr>
            <w:tcW w:w="1479" w:type="dxa"/>
          </w:tcPr>
          <w:p w:rsidR="00A75335" w:rsidRDefault="00A75335" w:rsidP="008450E0">
            <w:pPr>
              <w:jc w:val="center"/>
            </w:pPr>
            <w:r>
              <w:t>75.9</w:t>
            </w:r>
          </w:p>
        </w:tc>
      </w:tr>
      <w:tr w:rsidR="00A75335" w:rsidTr="008450E0">
        <w:tc>
          <w:tcPr>
            <w:tcW w:w="2308" w:type="dxa"/>
          </w:tcPr>
          <w:p w:rsidR="00A75335" w:rsidRDefault="00A75335" w:rsidP="008450E0">
            <w:r>
              <w:t>Post-menopause</w:t>
            </w:r>
          </w:p>
        </w:tc>
        <w:tc>
          <w:tcPr>
            <w:tcW w:w="1417" w:type="dxa"/>
          </w:tcPr>
          <w:p w:rsidR="00A75335" w:rsidRDefault="00A75335" w:rsidP="008450E0">
            <w:pPr>
              <w:jc w:val="center"/>
            </w:pPr>
            <w:r>
              <w:t>0.3</w:t>
            </w:r>
          </w:p>
        </w:tc>
        <w:tc>
          <w:tcPr>
            <w:tcW w:w="1560" w:type="dxa"/>
          </w:tcPr>
          <w:p w:rsidR="00A75335" w:rsidRDefault="00A75335" w:rsidP="008450E0">
            <w:pPr>
              <w:jc w:val="center"/>
            </w:pPr>
            <w:r>
              <w:t>2.5</w:t>
            </w:r>
          </w:p>
        </w:tc>
        <w:tc>
          <w:tcPr>
            <w:tcW w:w="1559" w:type="dxa"/>
          </w:tcPr>
          <w:p w:rsidR="00A75335" w:rsidRDefault="00A75335" w:rsidP="008450E0">
            <w:pPr>
              <w:jc w:val="center"/>
            </w:pPr>
            <w:r>
              <w:t>&lt;0.159</w:t>
            </w:r>
          </w:p>
        </w:tc>
        <w:tc>
          <w:tcPr>
            <w:tcW w:w="1479" w:type="dxa"/>
          </w:tcPr>
          <w:p w:rsidR="00A75335" w:rsidRDefault="00A75335" w:rsidP="008450E0">
            <w:pPr>
              <w:jc w:val="center"/>
            </w:pPr>
            <w:r>
              <w:t>0.401</w:t>
            </w:r>
          </w:p>
        </w:tc>
      </w:tr>
    </w:tbl>
    <w:p w:rsidR="00A75335" w:rsidRDefault="00A75335" w:rsidP="00A75335">
      <w:pPr>
        <w:pStyle w:val="NoSpacing"/>
        <w:ind w:left="720"/>
      </w:pPr>
    </w:p>
    <w:p w:rsidR="00A75335" w:rsidRDefault="00A75335" w:rsidP="00A75335">
      <w:pPr>
        <w:pStyle w:val="NoSpacing"/>
        <w:ind w:left="720"/>
      </w:pPr>
    </w:p>
    <w:p w:rsidR="00A75335" w:rsidRDefault="00A75335" w:rsidP="001644DA">
      <w:pPr>
        <w:pStyle w:val="NoSpacing"/>
      </w:pPr>
    </w:p>
    <w:sectPr w:rsidR="00A75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903"/>
    <w:multiLevelType w:val="hybridMultilevel"/>
    <w:tmpl w:val="B61031C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2308"/>
    <w:multiLevelType w:val="hybridMultilevel"/>
    <w:tmpl w:val="59DA54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B774E"/>
    <w:multiLevelType w:val="hybridMultilevel"/>
    <w:tmpl w:val="00C8785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24AA9"/>
    <w:multiLevelType w:val="hybridMultilevel"/>
    <w:tmpl w:val="197AA2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DC4"/>
    <w:multiLevelType w:val="hybridMultilevel"/>
    <w:tmpl w:val="597432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447F8"/>
    <w:multiLevelType w:val="hybridMultilevel"/>
    <w:tmpl w:val="774291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C5961"/>
    <w:multiLevelType w:val="hybridMultilevel"/>
    <w:tmpl w:val="3EB404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A6D58"/>
    <w:multiLevelType w:val="hybridMultilevel"/>
    <w:tmpl w:val="2C368E6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22B95"/>
    <w:multiLevelType w:val="hybridMultilevel"/>
    <w:tmpl w:val="8D9CFCE8"/>
    <w:lvl w:ilvl="0" w:tplc="850490D4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778C5"/>
    <w:multiLevelType w:val="hybridMultilevel"/>
    <w:tmpl w:val="CB7027E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E6C77"/>
    <w:multiLevelType w:val="hybridMultilevel"/>
    <w:tmpl w:val="CAA6ECF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DA"/>
    <w:rsid w:val="000F1CC4"/>
    <w:rsid w:val="001644DA"/>
    <w:rsid w:val="006C29A8"/>
    <w:rsid w:val="00764311"/>
    <w:rsid w:val="008B705B"/>
    <w:rsid w:val="00942523"/>
    <w:rsid w:val="00A43D91"/>
    <w:rsid w:val="00A75335"/>
    <w:rsid w:val="00D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7E492"/>
  <w15:chartTrackingRefBased/>
  <w15:docId w15:val="{29EA9B1C-B89B-4AFE-9AC7-C61FA57F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4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29A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C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Vreede</dc:creator>
  <cp:keywords/>
  <dc:description/>
  <cp:lastModifiedBy>Heleen Vreede</cp:lastModifiedBy>
  <cp:revision>7</cp:revision>
  <dcterms:created xsi:type="dcterms:W3CDTF">2020-06-07T22:22:00Z</dcterms:created>
  <dcterms:modified xsi:type="dcterms:W3CDTF">2020-06-26T08:37:00Z</dcterms:modified>
</cp:coreProperties>
</file>